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6" w:rsidRPr="00001558" w:rsidRDefault="00FF6269" w:rsidP="003E2B96">
      <w:pPr>
        <w:spacing w:line="288" w:lineRule="auto"/>
        <w:jc w:val="both"/>
        <w:rPr>
          <w:rFonts w:asciiTheme="majorHAnsi" w:hAnsiTheme="majorHAnsi"/>
          <w:b/>
          <w:sz w:val="20"/>
        </w:rPr>
      </w:pPr>
      <w:r w:rsidRPr="00001558">
        <w:rPr>
          <w:rFonts w:asciiTheme="majorHAnsi" w:hAnsiTheme="majorHAnsi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43240" wp14:editId="4BE86909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798820" cy="28498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B96" w:rsidRPr="000D65DA" w:rsidRDefault="003E2B96" w:rsidP="003E2B96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0D65DA">
                              <w:rPr>
                                <w:color w:val="FF0000"/>
                                <w:sz w:val="72"/>
                              </w:rPr>
                              <w:t>TO BE EXECUTED IN NON JUDICIAL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2pt;width:456.6pt;height:2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">
                <v:textbox>
                  <w:txbxContent>
                    <w:p w:rsidR="003E2B96" w:rsidRPr="000D65DA" w:rsidRDefault="003E2B96" w:rsidP="003E2B96">
                      <w:pPr>
                        <w:spacing w:line="480" w:lineRule="auto"/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0D65DA">
                        <w:rPr>
                          <w:color w:val="FF0000"/>
                          <w:sz w:val="72"/>
                        </w:rPr>
                        <w:t>TO BE EXECUTED IN NON JUDICIAL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B96" w:rsidRPr="00001558" w:rsidRDefault="00FF6269" w:rsidP="00FF6269">
      <w:pPr>
        <w:spacing w:line="288" w:lineRule="auto"/>
        <w:jc w:val="center"/>
        <w:rPr>
          <w:rFonts w:asciiTheme="majorHAnsi" w:hAnsiTheme="majorHAnsi"/>
          <w:b/>
          <w:i/>
          <w:sz w:val="20"/>
          <w:u w:val="single"/>
        </w:rPr>
      </w:pPr>
      <w:r w:rsidRPr="00001558">
        <w:rPr>
          <w:rFonts w:asciiTheme="majorHAnsi" w:hAnsiTheme="majorHAnsi"/>
          <w:b/>
          <w:i/>
          <w:sz w:val="20"/>
          <w:u w:val="single"/>
        </w:rPr>
        <w:t>ADDENDUM NO.1</w:t>
      </w:r>
      <w:r w:rsidR="00C27195">
        <w:rPr>
          <w:rFonts w:asciiTheme="majorHAnsi" w:hAnsiTheme="majorHAnsi"/>
          <w:b/>
          <w:i/>
          <w:sz w:val="20"/>
          <w:u w:val="single"/>
        </w:rPr>
        <w:t xml:space="preserve"> (</w:t>
      </w:r>
      <w:r w:rsidR="00736892">
        <w:rPr>
          <w:rFonts w:asciiTheme="majorHAnsi" w:hAnsiTheme="majorHAnsi"/>
          <w:b/>
          <w:i/>
          <w:sz w:val="20"/>
          <w:u w:val="single"/>
        </w:rPr>
        <w:t xml:space="preserve">Easy </w:t>
      </w:r>
      <w:r w:rsidR="00022654">
        <w:rPr>
          <w:rFonts w:asciiTheme="majorHAnsi" w:hAnsiTheme="majorHAnsi"/>
          <w:b/>
          <w:i/>
          <w:sz w:val="20"/>
          <w:u w:val="single"/>
        </w:rPr>
        <w:t>Pay Switch</w:t>
      </w:r>
      <w:r w:rsidR="00C27195">
        <w:rPr>
          <w:rFonts w:asciiTheme="majorHAnsi" w:hAnsiTheme="majorHAnsi"/>
          <w:b/>
          <w:i/>
          <w:sz w:val="20"/>
          <w:u w:val="single"/>
        </w:rPr>
        <w:t xml:space="preserve"> from Option-I to Option-II)</w:t>
      </w:r>
    </w:p>
    <w:p w:rsidR="003E2B96" w:rsidRPr="00001558" w:rsidRDefault="003E2B96" w:rsidP="003E2B96">
      <w:pPr>
        <w:spacing w:line="288" w:lineRule="auto"/>
        <w:jc w:val="both"/>
        <w:rPr>
          <w:rFonts w:asciiTheme="majorHAnsi" w:hAnsiTheme="majorHAnsi"/>
          <w:sz w:val="20"/>
        </w:rPr>
      </w:pPr>
      <w:r w:rsidRPr="00001558">
        <w:rPr>
          <w:rFonts w:asciiTheme="majorHAnsi" w:hAnsiTheme="majorHAnsi"/>
          <w:b/>
          <w:sz w:val="20"/>
        </w:rPr>
        <w:t xml:space="preserve">THIS </w:t>
      </w:r>
      <w:r w:rsidR="00FF6269" w:rsidRPr="00001558">
        <w:rPr>
          <w:rFonts w:asciiTheme="majorHAnsi" w:hAnsiTheme="majorHAnsi"/>
          <w:b/>
          <w:sz w:val="20"/>
        </w:rPr>
        <w:t>ADDENDUM</w:t>
      </w:r>
      <w:r w:rsidRPr="00001558">
        <w:rPr>
          <w:rFonts w:asciiTheme="majorHAnsi" w:hAnsiTheme="majorHAnsi"/>
          <w:sz w:val="20"/>
        </w:rPr>
        <w:t xml:space="preserve"> is made on this ___</w:t>
      </w:r>
      <w:r w:rsidR="007A5C17" w:rsidRPr="00001558">
        <w:rPr>
          <w:rFonts w:asciiTheme="majorHAnsi" w:hAnsiTheme="majorHAnsi"/>
          <w:sz w:val="20"/>
        </w:rPr>
        <w:t>_______</w:t>
      </w:r>
      <w:r w:rsidRPr="00001558">
        <w:rPr>
          <w:rFonts w:asciiTheme="majorHAnsi" w:hAnsiTheme="majorHAnsi"/>
          <w:sz w:val="20"/>
        </w:rPr>
        <w:t xml:space="preserve"> day </w:t>
      </w:r>
      <w:r w:rsidR="007A5C17" w:rsidRPr="00001558">
        <w:rPr>
          <w:rFonts w:asciiTheme="majorHAnsi" w:hAnsiTheme="majorHAnsi"/>
          <w:sz w:val="20"/>
        </w:rPr>
        <w:t xml:space="preserve">of _______________ month </w:t>
      </w:r>
      <w:r w:rsidRPr="00001558">
        <w:rPr>
          <w:rFonts w:asciiTheme="majorHAnsi" w:hAnsiTheme="majorHAnsi"/>
          <w:sz w:val="20"/>
        </w:rPr>
        <w:t>20</w:t>
      </w:r>
      <w:r w:rsidR="007A5C17" w:rsidRPr="00001558">
        <w:rPr>
          <w:rFonts w:asciiTheme="majorHAnsi" w:hAnsiTheme="majorHAnsi"/>
          <w:sz w:val="20"/>
        </w:rPr>
        <w:t>____</w:t>
      </w:r>
      <w:r w:rsidR="00FF6269" w:rsidRPr="00001558">
        <w:rPr>
          <w:rFonts w:asciiTheme="majorHAnsi" w:hAnsiTheme="majorHAnsi"/>
          <w:sz w:val="20"/>
        </w:rPr>
        <w:t xml:space="preserve">_ to the AGREEMENT </w:t>
      </w:r>
      <w:r w:rsidR="00FF6269" w:rsidRPr="00001558">
        <w:rPr>
          <w:rFonts w:asciiTheme="majorHAnsi" w:hAnsiTheme="majorHAnsi"/>
          <w:sz w:val="20"/>
        </w:rPr>
        <w:t>made on __________ day of _______________ month 20_____</w:t>
      </w:r>
      <w:r w:rsidR="005165F4" w:rsidRPr="00001558">
        <w:rPr>
          <w:rFonts w:asciiTheme="majorHAnsi" w:hAnsiTheme="majorHAnsi"/>
          <w:sz w:val="20"/>
        </w:rPr>
        <w:t xml:space="preserve"> between</w:t>
      </w:r>
      <w:r w:rsidR="00860049" w:rsidRPr="00001558">
        <w:rPr>
          <w:rFonts w:asciiTheme="majorHAnsi" w:hAnsiTheme="majorHAnsi"/>
          <w:sz w:val="20"/>
        </w:rPr>
        <w:t>:</w:t>
      </w:r>
    </w:p>
    <w:tbl>
      <w:tblPr>
        <w:tblW w:w="9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9648"/>
      </w:tblGrid>
      <w:tr w:rsidR="003E2B96" w:rsidRPr="00001558" w:rsidTr="002C7E19">
        <w:tc>
          <w:tcPr>
            <w:tcW w:w="9648" w:type="dxa"/>
          </w:tcPr>
          <w:p w:rsidR="003E2B96" w:rsidRPr="00001558" w:rsidRDefault="003E2B96" w:rsidP="00DE0238">
            <w:pPr>
              <w:spacing w:line="288" w:lineRule="auto"/>
              <w:jc w:val="both"/>
              <w:rPr>
                <w:rFonts w:asciiTheme="majorHAnsi" w:hAnsiTheme="majorHAnsi"/>
                <w:sz w:val="20"/>
              </w:rPr>
            </w:pPr>
            <w:r w:rsidRPr="00001558">
              <w:rPr>
                <w:rFonts w:asciiTheme="majorHAnsi" w:hAnsiTheme="majorHAnsi"/>
                <w:b/>
                <w:sz w:val="20"/>
              </w:rPr>
              <w:t>ASSAM POWER DISTRIBUTION COMPANY L</w:t>
            </w:r>
            <w:r w:rsidR="00DE0238" w:rsidRPr="00001558">
              <w:rPr>
                <w:rFonts w:asciiTheme="majorHAnsi" w:hAnsiTheme="majorHAnsi"/>
                <w:b/>
                <w:sz w:val="20"/>
              </w:rPr>
              <w:t>imited (APDCL)</w:t>
            </w:r>
            <w:r w:rsidRPr="00001558">
              <w:rPr>
                <w:rFonts w:asciiTheme="majorHAnsi" w:hAnsiTheme="majorHAnsi"/>
                <w:sz w:val="20"/>
              </w:rPr>
              <w:t xml:space="preserve"> a company incorporated under the Companies Act, 1956 and having its Registered Office at </w:t>
            </w:r>
            <w:proofErr w:type="spellStart"/>
            <w:r w:rsidRPr="00001558">
              <w:rPr>
                <w:rFonts w:asciiTheme="majorHAnsi" w:hAnsiTheme="majorHAnsi"/>
                <w:sz w:val="20"/>
              </w:rPr>
              <w:t>Bijulee</w:t>
            </w:r>
            <w:proofErr w:type="spellEnd"/>
            <w:r w:rsidRPr="00001558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001558">
              <w:rPr>
                <w:rFonts w:asciiTheme="majorHAnsi" w:hAnsiTheme="majorHAnsi"/>
                <w:sz w:val="20"/>
              </w:rPr>
              <w:t>Bhawan</w:t>
            </w:r>
            <w:proofErr w:type="spellEnd"/>
            <w:r w:rsidRPr="00001558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001558">
              <w:rPr>
                <w:rFonts w:asciiTheme="majorHAnsi" w:hAnsiTheme="majorHAnsi"/>
                <w:sz w:val="20"/>
              </w:rPr>
              <w:t>Paltan</w:t>
            </w:r>
            <w:proofErr w:type="spellEnd"/>
            <w:r w:rsidRPr="00001558">
              <w:rPr>
                <w:rFonts w:asciiTheme="majorHAnsi" w:hAnsiTheme="majorHAnsi"/>
                <w:sz w:val="20"/>
              </w:rPr>
              <w:t xml:space="preserve"> Bazar, Guwahati - 781001 </w:t>
            </w:r>
            <w:r w:rsidRPr="00001558">
              <w:rPr>
                <w:rFonts w:asciiTheme="majorHAnsi" w:hAnsiTheme="majorHAnsi"/>
                <w:i/>
                <w:sz w:val="20"/>
              </w:rPr>
              <w:t>(hereinafter referred to as</w:t>
            </w:r>
            <w:r w:rsidRPr="00001558">
              <w:rPr>
                <w:rFonts w:asciiTheme="majorHAnsi" w:hAnsiTheme="majorHAnsi"/>
                <w:i/>
                <w:color w:val="800000"/>
                <w:sz w:val="20"/>
              </w:rPr>
              <w:t xml:space="preserve"> </w:t>
            </w:r>
            <w:r w:rsidRPr="00001558">
              <w:rPr>
                <w:rFonts w:asciiTheme="majorHAnsi" w:hAnsiTheme="majorHAnsi"/>
                <w:i/>
                <w:sz w:val="20"/>
              </w:rPr>
              <w:t>“</w:t>
            </w:r>
            <w:r w:rsidRPr="00001558">
              <w:rPr>
                <w:rFonts w:asciiTheme="majorHAnsi" w:hAnsiTheme="majorHAnsi"/>
                <w:b/>
                <w:bCs/>
                <w:i/>
                <w:sz w:val="20"/>
              </w:rPr>
              <w:t>the Entity</w:t>
            </w:r>
            <w:r w:rsidRPr="00001558">
              <w:rPr>
                <w:rFonts w:asciiTheme="majorHAnsi" w:hAnsiTheme="majorHAnsi"/>
                <w:i/>
                <w:sz w:val="20"/>
              </w:rPr>
              <w:t xml:space="preserve">” which expression shall, unless it be repugnant to the subject or context thereof, mean and include its successors, affiliates and assigns) of the </w:t>
            </w:r>
            <w:r w:rsidRPr="00001558">
              <w:rPr>
                <w:rFonts w:asciiTheme="majorHAnsi" w:hAnsiTheme="majorHAnsi"/>
                <w:b/>
                <w:bCs/>
                <w:i/>
                <w:sz w:val="20"/>
              </w:rPr>
              <w:t>OTHER PART</w:t>
            </w:r>
          </w:p>
        </w:tc>
      </w:tr>
      <w:tr w:rsidR="003E2B96" w:rsidRPr="00001558" w:rsidTr="002C7E19">
        <w:tc>
          <w:tcPr>
            <w:tcW w:w="9648" w:type="dxa"/>
          </w:tcPr>
          <w:p w:rsidR="003E2B96" w:rsidRPr="00001558" w:rsidRDefault="003E2B96" w:rsidP="003E2B96">
            <w:pPr>
              <w:spacing w:line="288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001558">
              <w:rPr>
                <w:rFonts w:asciiTheme="majorHAnsi" w:hAnsiTheme="majorHAnsi"/>
                <w:b/>
                <w:bCs/>
                <w:sz w:val="20"/>
              </w:rPr>
              <w:t>AND</w:t>
            </w:r>
          </w:p>
        </w:tc>
      </w:tr>
      <w:tr w:rsidR="003E2B96" w:rsidRPr="00001558" w:rsidTr="002C7E19">
        <w:tc>
          <w:tcPr>
            <w:tcW w:w="9648" w:type="dxa"/>
          </w:tcPr>
          <w:p w:rsidR="003E2B96" w:rsidRPr="00001558" w:rsidRDefault="003E2B96" w:rsidP="00265AE9">
            <w:pPr>
              <w:spacing w:line="288" w:lineRule="auto"/>
              <w:jc w:val="both"/>
              <w:rPr>
                <w:rFonts w:asciiTheme="majorHAnsi" w:hAnsiTheme="majorHAnsi"/>
                <w:color w:val="800000"/>
                <w:sz w:val="20"/>
                <w:highlight w:val="yellow"/>
              </w:rPr>
            </w:pPr>
            <w:r w:rsidRPr="00001558">
              <w:rPr>
                <w:rFonts w:asciiTheme="majorHAnsi" w:hAnsiTheme="majorHAnsi"/>
                <w:b/>
                <w:sz w:val="20"/>
              </w:rPr>
              <w:t>Sri/</w:t>
            </w:r>
            <w:proofErr w:type="spellStart"/>
            <w:r w:rsidRPr="00001558">
              <w:rPr>
                <w:rFonts w:asciiTheme="majorHAnsi" w:hAnsiTheme="majorHAnsi"/>
                <w:b/>
                <w:sz w:val="20"/>
              </w:rPr>
              <w:t>Smt</w:t>
            </w:r>
            <w:proofErr w:type="spellEnd"/>
            <w:r w:rsidRPr="00001558">
              <w:rPr>
                <w:rFonts w:asciiTheme="majorHAnsi" w:hAnsiTheme="majorHAnsi"/>
                <w:b/>
                <w:sz w:val="20"/>
              </w:rPr>
              <w:t>_________________________________</w:t>
            </w:r>
            <w:r w:rsidR="00265AE9" w:rsidRPr="00001558">
              <w:rPr>
                <w:rFonts w:asciiTheme="majorHAnsi" w:hAnsiTheme="majorHAnsi"/>
                <w:b/>
                <w:sz w:val="20"/>
              </w:rPr>
              <w:t>___</w:t>
            </w:r>
            <w:r w:rsidRPr="00001558">
              <w:rPr>
                <w:rFonts w:asciiTheme="majorHAnsi" w:hAnsiTheme="majorHAnsi"/>
                <w:b/>
                <w:sz w:val="20"/>
              </w:rPr>
              <w:t>_</w:t>
            </w:r>
            <w:r w:rsidR="00265AE9" w:rsidRPr="00001558">
              <w:rPr>
                <w:rFonts w:asciiTheme="majorHAnsi" w:hAnsiTheme="majorHAnsi"/>
                <w:b/>
                <w:sz w:val="20"/>
              </w:rPr>
              <w:t>, Son/Daughter/wife of________________________________________</w:t>
            </w:r>
            <w:r w:rsidRPr="00001558">
              <w:rPr>
                <w:rFonts w:asciiTheme="majorHAnsi" w:hAnsiTheme="majorHAnsi"/>
                <w:sz w:val="20"/>
              </w:rPr>
              <w:t xml:space="preserve"> a resident of Village/Town__________________________________, Ward No._____________________________ Locality________________________District_______________________, P.O._________________, P.S.___________________, Pin Code________________________, Assam </w:t>
            </w:r>
            <w:r w:rsidR="00625F9A" w:rsidRPr="00001558">
              <w:rPr>
                <w:rFonts w:asciiTheme="majorHAnsi" w:hAnsiTheme="majorHAnsi"/>
                <w:sz w:val="20"/>
              </w:rPr>
              <w:t>and an electricity consumer of APDCL under _______________</w:t>
            </w:r>
            <w:r w:rsidR="006428EA" w:rsidRPr="00001558">
              <w:rPr>
                <w:rFonts w:asciiTheme="majorHAnsi" w:hAnsiTheme="majorHAnsi"/>
                <w:sz w:val="20"/>
              </w:rPr>
              <w:t>_________________Electrical Sub-</w:t>
            </w:r>
            <w:r w:rsidR="00625F9A" w:rsidRPr="00001558">
              <w:rPr>
                <w:rFonts w:asciiTheme="majorHAnsi" w:hAnsiTheme="majorHAnsi"/>
                <w:sz w:val="20"/>
              </w:rPr>
              <w:t>Division,__________________ Electrical Circle</w:t>
            </w:r>
            <w:r w:rsidR="006428EA" w:rsidRPr="00001558">
              <w:rPr>
                <w:rFonts w:asciiTheme="majorHAnsi" w:hAnsiTheme="majorHAnsi"/>
                <w:sz w:val="20"/>
              </w:rPr>
              <w:t>,</w:t>
            </w:r>
            <w:r w:rsidR="00625F9A" w:rsidRPr="00001558">
              <w:rPr>
                <w:rFonts w:asciiTheme="majorHAnsi" w:hAnsiTheme="majorHAnsi"/>
                <w:sz w:val="20"/>
              </w:rPr>
              <w:t xml:space="preserve"> bearing </w:t>
            </w:r>
            <w:r w:rsidR="006428EA" w:rsidRPr="00001558">
              <w:rPr>
                <w:rFonts w:asciiTheme="majorHAnsi" w:hAnsiTheme="majorHAnsi"/>
                <w:sz w:val="20"/>
              </w:rPr>
              <w:t xml:space="preserve">APDCL </w:t>
            </w:r>
            <w:r w:rsidR="00625F9A" w:rsidRPr="00001558">
              <w:rPr>
                <w:rFonts w:asciiTheme="majorHAnsi" w:hAnsiTheme="majorHAnsi"/>
                <w:sz w:val="20"/>
              </w:rPr>
              <w:t xml:space="preserve">consumer number______________________________ </w:t>
            </w:r>
            <w:r w:rsidRPr="00001558">
              <w:rPr>
                <w:rFonts w:asciiTheme="majorHAnsi" w:hAnsiTheme="majorHAnsi"/>
                <w:i/>
                <w:sz w:val="20"/>
              </w:rPr>
              <w:t>(hereinafter referred to as</w:t>
            </w:r>
            <w:r w:rsidRPr="00001558">
              <w:rPr>
                <w:rFonts w:asciiTheme="majorHAnsi" w:hAnsiTheme="majorHAnsi"/>
                <w:i/>
                <w:color w:val="800000"/>
                <w:sz w:val="20"/>
              </w:rPr>
              <w:t xml:space="preserve"> </w:t>
            </w:r>
            <w:r w:rsidRPr="00001558">
              <w:rPr>
                <w:rFonts w:asciiTheme="majorHAnsi" w:hAnsiTheme="majorHAnsi"/>
                <w:i/>
                <w:sz w:val="20"/>
              </w:rPr>
              <w:t>“</w:t>
            </w:r>
            <w:r w:rsidRPr="00001558">
              <w:rPr>
                <w:rFonts w:asciiTheme="majorHAnsi" w:hAnsiTheme="majorHAnsi"/>
                <w:b/>
                <w:bCs/>
                <w:i/>
                <w:sz w:val="20"/>
              </w:rPr>
              <w:t>the Agent</w:t>
            </w:r>
            <w:r w:rsidRPr="00001558">
              <w:rPr>
                <w:rFonts w:asciiTheme="majorHAnsi" w:hAnsiTheme="majorHAnsi"/>
                <w:i/>
                <w:sz w:val="20"/>
              </w:rPr>
              <w:t xml:space="preserve">” which expression shall, unless it be repugnant to the subject or context thereof, mean and include its successors, affiliates and assigns) of the </w:t>
            </w:r>
            <w:r w:rsidRPr="00001558">
              <w:rPr>
                <w:rFonts w:asciiTheme="majorHAnsi" w:hAnsiTheme="majorHAnsi"/>
                <w:b/>
                <w:bCs/>
                <w:i/>
                <w:sz w:val="20"/>
              </w:rPr>
              <w:t>OTHER PART</w:t>
            </w:r>
          </w:p>
        </w:tc>
      </w:tr>
    </w:tbl>
    <w:p w:rsidR="003E2B96" w:rsidRPr="00001558" w:rsidRDefault="003E2B96" w:rsidP="003E2B96">
      <w:pPr>
        <w:spacing w:line="288" w:lineRule="auto"/>
        <w:jc w:val="both"/>
        <w:rPr>
          <w:rFonts w:asciiTheme="majorHAnsi" w:hAnsiTheme="majorHAnsi"/>
          <w:sz w:val="20"/>
        </w:rPr>
      </w:pPr>
    </w:p>
    <w:p w:rsidR="003E2B96" w:rsidRPr="00001558" w:rsidRDefault="003E2B96" w:rsidP="003E2B96">
      <w:pPr>
        <w:spacing w:line="288" w:lineRule="auto"/>
        <w:jc w:val="both"/>
        <w:rPr>
          <w:rFonts w:asciiTheme="majorHAnsi" w:hAnsiTheme="majorHAnsi"/>
          <w:sz w:val="20"/>
        </w:rPr>
      </w:pPr>
      <w:r w:rsidRPr="00001558">
        <w:rPr>
          <w:rFonts w:asciiTheme="majorHAnsi" w:hAnsiTheme="majorHAnsi"/>
          <w:sz w:val="20"/>
        </w:rPr>
        <w:t>(The Entity and the Agent are hereinafter collectively referred to as “the Parties” and severally as “the Party”)</w:t>
      </w:r>
    </w:p>
    <w:p w:rsidR="005165F4" w:rsidRPr="00001558" w:rsidRDefault="005165F4" w:rsidP="003E2B96">
      <w:pPr>
        <w:spacing w:line="288" w:lineRule="auto"/>
        <w:jc w:val="both"/>
        <w:rPr>
          <w:rFonts w:asciiTheme="majorHAnsi" w:hAnsiTheme="majorHAnsi"/>
          <w:sz w:val="20"/>
        </w:rPr>
      </w:pPr>
      <w:r w:rsidRPr="00001558">
        <w:rPr>
          <w:rFonts w:asciiTheme="majorHAnsi" w:hAnsiTheme="majorHAnsi"/>
          <w:sz w:val="20"/>
        </w:rPr>
        <w:t>This Addendum will come into effect from the date of signing the addendum.</w:t>
      </w:r>
    </w:p>
    <w:p w:rsidR="00001558" w:rsidRDefault="00001558" w:rsidP="003E2B96">
      <w:pPr>
        <w:pStyle w:val="Heading3"/>
        <w:keepNext w:val="0"/>
        <w:spacing w:line="288" w:lineRule="auto"/>
        <w:rPr>
          <w:rFonts w:asciiTheme="majorHAnsi" w:hAnsiTheme="majorHAnsi"/>
          <w:sz w:val="20"/>
          <w:szCs w:val="22"/>
        </w:rPr>
      </w:pPr>
    </w:p>
    <w:p w:rsidR="003E2B96" w:rsidRPr="00001558" w:rsidRDefault="003E2B96" w:rsidP="003E2B96">
      <w:pPr>
        <w:pStyle w:val="Heading3"/>
        <w:keepNext w:val="0"/>
        <w:spacing w:line="288" w:lineRule="auto"/>
        <w:rPr>
          <w:rFonts w:asciiTheme="majorHAnsi" w:hAnsiTheme="majorHAnsi"/>
          <w:sz w:val="20"/>
          <w:szCs w:val="22"/>
        </w:rPr>
      </w:pPr>
      <w:r w:rsidRPr="00001558">
        <w:rPr>
          <w:rFonts w:asciiTheme="majorHAnsi" w:hAnsiTheme="majorHAnsi"/>
          <w:sz w:val="20"/>
          <w:szCs w:val="22"/>
        </w:rPr>
        <w:lastRenderedPageBreak/>
        <w:t>WHEREAS</w:t>
      </w:r>
    </w:p>
    <w:p w:rsidR="005165F4" w:rsidRPr="00001558" w:rsidRDefault="005165F4" w:rsidP="005165F4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01558">
        <w:rPr>
          <w:rFonts w:asciiTheme="majorHAnsi" w:hAnsiTheme="majorHAnsi"/>
          <w:sz w:val="20"/>
        </w:rPr>
        <w:t>An Agreement was</w:t>
      </w:r>
      <w:r w:rsidR="00553E23" w:rsidRPr="00001558">
        <w:rPr>
          <w:rFonts w:asciiTheme="majorHAnsi" w:hAnsiTheme="majorHAnsi"/>
          <w:sz w:val="20"/>
        </w:rPr>
        <w:t xml:space="preserve"> earlier</w:t>
      </w:r>
      <w:r w:rsidRPr="00001558">
        <w:rPr>
          <w:rFonts w:asciiTheme="majorHAnsi" w:hAnsiTheme="majorHAnsi"/>
          <w:sz w:val="20"/>
        </w:rPr>
        <w:t xml:space="preserve"> executed between both the Parties where t</w:t>
      </w:r>
      <w:r w:rsidRPr="00001558">
        <w:rPr>
          <w:rFonts w:asciiTheme="majorHAnsi" w:hAnsiTheme="majorHAnsi"/>
          <w:sz w:val="20"/>
        </w:rPr>
        <w:t xml:space="preserve">he Agent is engaged, inter alia, in the business of providing service related to bill collection from the electricity consumers on behalf of </w:t>
      </w:r>
      <w:r w:rsidRPr="00001558">
        <w:rPr>
          <w:rFonts w:asciiTheme="majorHAnsi" w:hAnsiTheme="majorHAnsi"/>
          <w:sz w:val="20"/>
        </w:rPr>
        <w:t>the Entity</w:t>
      </w:r>
      <w:r w:rsidRPr="00001558">
        <w:rPr>
          <w:rFonts w:asciiTheme="majorHAnsi" w:hAnsiTheme="majorHAnsi"/>
          <w:sz w:val="20"/>
        </w:rPr>
        <w:t xml:space="preserve">, only with the help of an android based mobile application called </w:t>
      </w:r>
      <w:r w:rsidRPr="00001558">
        <w:rPr>
          <w:rFonts w:asciiTheme="majorHAnsi" w:hAnsiTheme="majorHAnsi"/>
          <w:b/>
          <w:sz w:val="20"/>
        </w:rPr>
        <w:t xml:space="preserve">APDCL </w:t>
      </w:r>
      <w:proofErr w:type="spellStart"/>
      <w:r w:rsidRPr="00001558">
        <w:rPr>
          <w:rFonts w:asciiTheme="majorHAnsi" w:hAnsiTheme="majorHAnsi"/>
          <w:b/>
          <w:sz w:val="20"/>
        </w:rPr>
        <w:t>EasyPay</w:t>
      </w:r>
      <w:proofErr w:type="spellEnd"/>
      <w:r w:rsidRPr="00001558">
        <w:rPr>
          <w:rFonts w:asciiTheme="majorHAnsi" w:hAnsiTheme="majorHAnsi"/>
          <w:b/>
          <w:sz w:val="20"/>
        </w:rPr>
        <w:t xml:space="preserve"> </w:t>
      </w:r>
      <w:r w:rsidRPr="00001558">
        <w:rPr>
          <w:rFonts w:asciiTheme="majorHAnsi" w:hAnsiTheme="majorHAnsi"/>
          <w:sz w:val="20"/>
        </w:rPr>
        <w:t>developed and maintained by APDCL. These services enable customers to make payments at their close proximity.</w:t>
      </w:r>
    </w:p>
    <w:p w:rsidR="005165F4" w:rsidRPr="00001558" w:rsidRDefault="00CE087C" w:rsidP="005165F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Arial"/>
          <w:sz w:val="20"/>
        </w:rPr>
      </w:pPr>
      <w:r w:rsidRPr="00001558">
        <w:rPr>
          <w:rFonts w:asciiTheme="majorHAnsi" w:hAnsiTheme="majorHAnsi"/>
          <w:sz w:val="20"/>
        </w:rPr>
        <w:t xml:space="preserve">As per </w:t>
      </w:r>
      <w:r w:rsidRPr="00001558">
        <w:rPr>
          <w:rFonts w:asciiTheme="majorHAnsi" w:hAnsiTheme="majorHAnsi"/>
          <w:b/>
          <w:sz w:val="20"/>
        </w:rPr>
        <w:t>Clause: 5 of the Principal Agreement</w:t>
      </w:r>
      <w:r w:rsidRPr="00001558">
        <w:rPr>
          <w:rFonts w:asciiTheme="majorHAnsi" w:hAnsiTheme="majorHAnsi"/>
          <w:sz w:val="20"/>
        </w:rPr>
        <w:t>, t</w:t>
      </w:r>
      <w:r w:rsidR="005165F4" w:rsidRPr="00001558">
        <w:rPr>
          <w:rFonts w:asciiTheme="majorHAnsi" w:hAnsiTheme="majorHAnsi"/>
          <w:sz w:val="20"/>
        </w:rPr>
        <w:t>he</w:t>
      </w:r>
      <w:r w:rsidR="005165F4" w:rsidRPr="00001558">
        <w:rPr>
          <w:rFonts w:asciiTheme="majorHAnsi" w:hAnsiTheme="majorHAnsi" w:cs="Arial"/>
          <w:sz w:val="20"/>
        </w:rPr>
        <w:t xml:space="preserve"> selected agent can opt for either of the two systems for acting as Easy Pay Operator:</w:t>
      </w:r>
    </w:p>
    <w:p w:rsidR="005165F4" w:rsidRPr="00001558" w:rsidRDefault="005165F4" w:rsidP="005165F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="Arial"/>
          <w:sz w:val="20"/>
        </w:rPr>
      </w:pPr>
      <w:r w:rsidRPr="00001558">
        <w:rPr>
          <w:rFonts w:asciiTheme="majorHAnsi" w:hAnsiTheme="majorHAnsi" w:cs="Arial"/>
          <w:b/>
          <w:sz w:val="20"/>
        </w:rPr>
        <w:t>Option-I:</w:t>
      </w:r>
      <w:r w:rsidRPr="00001558">
        <w:rPr>
          <w:rFonts w:asciiTheme="majorHAnsi" w:hAnsiTheme="majorHAnsi" w:cs="Arial"/>
          <w:sz w:val="20"/>
        </w:rPr>
        <w:t xml:space="preserve"> The Agent can operate the system himself/herself without any sub-agent (s) under him/her.</w:t>
      </w:r>
    </w:p>
    <w:p w:rsidR="005165F4" w:rsidRPr="00001558" w:rsidRDefault="005165F4" w:rsidP="005165F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="Arial"/>
          <w:sz w:val="20"/>
        </w:rPr>
      </w:pPr>
      <w:r w:rsidRPr="00001558">
        <w:rPr>
          <w:rFonts w:asciiTheme="majorHAnsi" w:hAnsiTheme="majorHAnsi" w:cs="Arial"/>
          <w:b/>
          <w:sz w:val="20"/>
        </w:rPr>
        <w:t>Option-II:</w:t>
      </w:r>
      <w:r w:rsidRPr="00001558">
        <w:rPr>
          <w:rFonts w:asciiTheme="majorHAnsi" w:hAnsiTheme="majorHAnsi" w:cs="Arial"/>
          <w:sz w:val="20"/>
        </w:rPr>
        <w:t xml:space="preserve"> The Agent can employ sub-agent (s) for working on behalf of him/her. In this option only the sub-agents will be allowed to collect money and the main agent will not be allowed to collect money.</w:t>
      </w:r>
    </w:p>
    <w:p w:rsidR="005165F4" w:rsidRPr="00001558" w:rsidRDefault="005165F4" w:rsidP="005165F4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01558">
        <w:rPr>
          <w:rFonts w:asciiTheme="majorHAnsi" w:hAnsiTheme="majorHAnsi"/>
          <w:sz w:val="20"/>
        </w:rPr>
        <w:t xml:space="preserve">The Agent while execution of the </w:t>
      </w:r>
      <w:r w:rsidR="00CE087C" w:rsidRPr="00001558">
        <w:rPr>
          <w:rFonts w:asciiTheme="majorHAnsi" w:hAnsiTheme="majorHAnsi"/>
          <w:sz w:val="20"/>
        </w:rPr>
        <w:t>P</w:t>
      </w:r>
      <w:r w:rsidR="00553E23" w:rsidRPr="00001558">
        <w:rPr>
          <w:rFonts w:asciiTheme="majorHAnsi" w:hAnsiTheme="majorHAnsi"/>
          <w:sz w:val="20"/>
        </w:rPr>
        <w:t>rincipal</w:t>
      </w:r>
      <w:r w:rsidRPr="00001558">
        <w:rPr>
          <w:rFonts w:asciiTheme="majorHAnsi" w:hAnsiTheme="majorHAnsi"/>
          <w:sz w:val="20"/>
        </w:rPr>
        <w:t xml:space="preserve"> Agreement has opted to choose the </w:t>
      </w:r>
      <w:r w:rsidRPr="00001558">
        <w:rPr>
          <w:rFonts w:asciiTheme="majorHAnsi" w:hAnsiTheme="majorHAnsi"/>
          <w:b/>
          <w:sz w:val="20"/>
        </w:rPr>
        <w:t>Option-I</w:t>
      </w:r>
      <w:r w:rsidRPr="00001558">
        <w:rPr>
          <w:rFonts w:asciiTheme="majorHAnsi" w:hAnsiTheme="majorHAnsi"/>
          <w:sz w:val="20"/>
        </w:rPr>
        <w:t xml:space="preserve"> where </w:t>
      </w:r>
      <w:r w:rsidRPr="00001558">
        <w:rPr>
          <w:rFonts w:asciiTheme="majorHAnsi" w:hAnsiTheme="majorHAnsi" w:cs="Arial"/>
          <w:sz w:val="20"/>
        </w:rPr>
        <w:t>t</w:t>
      </w:r>
      <w:r w:rsidRPr="00001558">
        <w:rPr>
          <w:rFonts w:asciiTheme="majorHAnsi" w:hAnsiTheme="majorHAnsi" w:cs="Arial"/>
          <w:sz w:val="20"/>
        </w:rPr>
        <w:t>he Agent can operate the system himself/herself without any sub-agent (s) under him/her</w:t>
      </w:r>
      <w:r w:rsidRPr="00001558">
        <w:rPr>
          <w:rFonts w:asciiTheme="majorHAnsi" w:hAnsiTheme="majorHAnsi" w:cs="Arial"/>
          <w:sz w:val="20"/>
        </w:rPr>
        <w:t>.</w:t>
      </w:r>
    </w:p>
    <w:p w:rsidR="005165F4" w:rsidRPr="00001558" w:rsidRDefault="005165F4" w:rsidP="00355233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01558">
        <w:rPr>
          <w:rFonts w:asciiTheme="majorHAnsi" w:hAnsiTheme="majorHAnsi" w:cs="Arial"/>
          <w:sz w:val="20"/>
        </w:rPr>
        <w:t xml:space="preserve">The Agent now desired to switch to </w:t>
      </w:r>
      <w:r w:rsidRPr="00001558">
        <w:rPr>
          <w:rFonts w:asciiTheme="majorHAnsi" w:hAnsiTheme="majorHAnsi" w:cs="Arial"/>
          <w:b/>
          <w:sz w:val="20"/>
        </w:rPr>
        <w:t>Option-II</w:t>
      </w:r>
      <w:r w:rsidRPr="00001558">
        <w:rPr>
          <w:rFonts w:asciiTheme="majorHAnsi" w:hAnsiTheme="majorHAnsi" w:cs="Arial"/>
          <w:sz w:val="20"/>
        </w:rPr>
        <w:t xml:space="preserve"> where t</w:t>
      </w:r>
      <w:r w:rsidRPr="00001558">
        <w:rPr>
          <w:rFonts w:asciiTheme="majorHAnsi" w:hAnsiTheme="majorHAnsi" w:cs="Arial"/>
          <w:sz w:val="20"/>
        </w:rPr>
        <w:t>he Agent can employ sub-agent (s) for working on behalf of him/her. In this option only the sub-agents will be allowed to collect money and the main agent will not be allowed to collect money.</w:t>
      </w:r>
    </w:p>
    <w:p w:rsidR="00553E23" w:rsidRPr="00001558" w:rsidRDefault="00553E23" w:rsidP="00355233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01558">
        <w:rPr>
          <w:rFonts w:asciiTheme="majorHAnsi" w:hAnsiTheme="majorHAnsi" w:cs="Arial"/>
          <w:b/>
          <w:sz w:val="20"/>
        </w:rPr>
        <w:t>Henceforth, the Agent will operate as Easy Pay Agent under the Option-II</w:t>
      </w:r>
      <w:r w:rsidR="00B27F4E" w:rsidRPr="00001558">
        <w:rPr>
          <w:rFonts w:asciiTheme="majorHAnsi" w:hAnsiTheme="majorHAnsi" w:cs="Arial"/>
          <w:b/>
          <w:sz w:val="20"/>
        </w:rPr>
        <w:t xml:space="preserve"> </w:t>
      </w:r>
      <w:r w:rsidR="00B27F4E" w:rsidRPr="00001558">
        <w:rPr>
          <w:rFonts w:asciiTheme="majorHAnsi" w:hAnsiTheme="majorHAnsi" w:cs="Arial"/>
          <w:sz w:val="20"/>
        </w:rPr>
        <w:t xml:space="preserve">until validity of the </w:t>
      </w:r>
      <w:r w:rsidR="00050D66">
        <w:rPr>
          <w:rFonts w:asciiTheme="majorHAnsi" w:hAnsiTheme="majorHAnsi" w:cs="Arial"/>
          <w:sz w:val="20"/>
        </w:rPr>
        <w:t xml:space="preserve">Principal </w:t>
      </w:r>
      <w:bookmarkStart w:id="0" w:name="_GoBack"/>
      <w:bookmarkEnd w:id="0"/>
      <w:r w:rsidR="00B27F4E" w:rsidRPr="00001558">
        <w:rPr>
          <w:rFonts w:asciiTheme="majorHAnsi" w:hAnsiTheme="majorHAnsi" w:cs="Arial"/>
          <w:sz w:val="20"/>
        </w:rPr>
        <w:t>Agreement under clauses as specified in the Principal Agreement.</w:t>
      </w:r>
    </w:p>
    <w:p w:rsidR="00553E23" w:rsidRPr="00001558" w:rsidRDefault="00553E23" w:rsidP="00355233">
      <w:pPr>
        <w:pStyle w:val="ListParagraph"/>
        <w:widowControl w:val="0"/>
        <w:numPr>
          <w:ilvl w:val="0"/>
          <w:numId w:val="17"/>
        </w:numPr>
        <w:spacing w:after="0" w:line="240" w:lineRule="auto"/>
        <w:ind w:right="-310"/>
        <w:jc w:val="both"/>
        <w:rPr>
          <w:rFonts w:asciiTheme="majorHAnsi" w:hAnsiTheme="majorHAnsi" w:cs="Arial"/>
          <w:sz w:val="20"/>
        </w:rPr>
      </w:pPr>
      <w:r w:rsidRPr="00001558">
        <w:rPr>
          <w:rFonts w:asciiTheme="majorHAnsi" w:hAnsiTheme="majorHAnsi" w:cs="Arial"/>
          <w:sz w:val="20"/>
        </w:rPr>
        <w:t>All other terms and condition of the Principal Agreement will remain unaltered.</w:t>
      </w:r>
    </w:p>
    <w:p w:rsidR="00553E23" w:rsidRPr="00001558" w:rsidRDefault="00553E23" w:rsidP="00355233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Calibri"/>
          <w:sz w:val="20"/>
        </w:rPr>
      </w:pPr>
      <w:r w:rsidRPr="00001558">
        <w:rPr>
          <w:rFonts w:asciiTheme="majorHAnsi" w:hAnsiTheme="majorHAnsi" w:cs="Calibri"/>
          <w:sz w:val="20"/>
        </w:rPr>
        <w:t xml:space="preserve">The Parties declare, assure and undertake that this Addendum shall be treated as part and parcel to the </w:t>
      </w:r>
      <w:r w:rsidR="00001558" w:rsidRPr="00001558">
        <w:rPr>
          <w:rFonts w:asciiTheme="majorHAnsi" w:hAnsiTheme="majorHAnsi" w:cs="Calibri"/>
          <w:sz w:val="20"/>
        </w:rPr>
        <w:t xml:space="preserve">Principal </w:t>
      </w:r>
      <w:r w:rsidRPr="00001558">
        <w:rPr>
          <w:rFonts w:asciiTheme="majorHAnsi" w:hAnsiTheme="majorHAnsi" w:cs="Calibri"/>
          <w:sz w:val="20"/>
        </w:rPr>
        <w:t xml:space="preserve">Agreement and the parties agree and acknowledged that to extent expressed herein, all the terms and conditions of the </w:t>
      </w:r>
      <w:r w:rsidR="00001558" w:rsidRPr="00001558">
        <w:rPr>
          <w:rFonts w:asciiTheme="majorHAnsi" w:hAnsiTheme="majorHAnsi" w:cs="Calibri"/>
          <w:sz w:val="20"/>
        </w:rPr>
        <w:t xml:space="preserve">Principal </w:t>
      </w:r>
      <w:r w:rsidRPr="00001558">
        <w:rPr>
          <w:rFonts w:asciiTheme="majorHAnsi" w:hAnsiTheme="majorHAnsi" w:cs="Calibri"/>
          <w:sz w:val="20"/>
        </w:rPr>
        <w:t>Agreement shall continue to be binding on the parties.</w:t>
      </w:r>
    </w:p>
    <w:p w:rsidR="00431FCA" w:rsidRPr="00001558" w:rsidRDefault="00431FCA" w:rsidP="00431FCA">
      <w:pPr>
        <w:pStyle w:val="ListParagraph"/>
        <w:spacing w:line="360" w:lineRule="auto"/>
        <w:jc w:val="both"/>
        <w:rPr>
          <w:rFonts w:asciiTheme="majorHAnsi" w:hAnsiTheme="majorHAnsi" w:cs="Arial"/>
          <w:sz w:val="20"/>
        </w:rPr>
      </w:pPr>
    </w:p>
    <w:p w:rsidR="00431FCA" w:rsidRPr="00290D44" w:rsidRDefault="00431FCA" w:rsidP="00431FCA">
      <w:pPr>
        <w:spacing w:line="360" w:lineRule="auto"/>
        <w:rPr>
          <w:rFonts w:asciiTheme="majorHAnsi" w:hAnsiTheme="majorHAnsi" w:cs="Arial"/>
          <w:b/>
          <w:sz w:val="20"/>
        </w:rPr>
      </w:pPr>
      <w:r w:rsidRPr="00290D44">
        <w:rPr>
          <w:rFonts w:asciiTheme="majorHAnsi" w:hAnsiTheme="majorHAnsi" w:cs="Arial"/>
          <w:b/>
          <w:sz w:val="20"/>
        </w:rPr>
        <w:t>IN WITNESS WHEREOF THE PARTIES HAVE EXECUTED AND DELIVERED THIS AGREEMENT AS ON A DAY AND YEAR FIRST ABOVE WRITTEN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2A02" w:rsidRPr="00001558" w:rsidTr="00FC2A02"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b/>
                <w:sz w:val="20"/>
              </w:rPr>
            </w:pPr>
            <w:r w:rsidRPr="00001558">
              <w:rPr>
                <w:rFonts w:asciiTheme="majorHAnsi" w:hAnsiTheme="majorHAnsi" w:cs="Arial"/>
                <w:b/>
                <w:sz w:val="20"/>
              </w:rPr>
              <w:t xml:space="preserve">For and on behalf of APDCL                                           </w:t>
            </w:r>
          </w:p>
        </w:tc>
        <w:tc>
          <w:tcPr>
            <w:tcW w:w="4788" w:type="dxa"/>
          </w:tcPr>
          <w:p w:rsidR="00FC2A02" w:rsidRPr="00001558" w:rsidRDefault="00FC2A02" w:rsidP="007D2F4A">
            <w:pPr>
              <w:spacing w:line="360" w:lineRule="auto"/>
              <w:rPr>
                <w:rFonts w:asciiTheme="majorHAnsi" w:hAnsiTheme="majorHAnsi" w:cs="Arial"/>
                <w:b/>
                <w:sz w:val="20"/>
              </w:rPr>
            </w:pPr>
            <w:r w:rsidRPr="00001558">
              <w:rPr>
                <w:rFonts w:asciiTheme="majorHAnsi" w:hAnsiTheme="majorHAnsi" w:cs="Arial"/>
                <w:b/>
                <w:sz w:val="20"/>
              </w:rPr>
              <w:t xml:space="preserve">For and on behalf of the </w:t>
            </w:r>
            <w:r w:rsidR="00683B9E">
              <w:rPr>
                <w:rFonts w:asciiTheme="majorHAnsi" w:hAnsiTheme="majorHAnsi" w:cs="Arial"/>
                <w:b/>
                <w:sz w:val="20"/>
              </w:rPr>
              <w:t>A</w:t>
            </w:r>
            <w:r w:rsidRPr="00001558">
              <w:rPr>
                <w:rFonts w:asciiTheme="majorHAnsi" w:hAnsiTheme="majorHAnsi" w:cs="Arial"/>
                <w:b/>
                <w:sz w:val="20"/>
              </w:rPr>
              <w:t>gen</w:t>
            </w:r>
            <w:r w:rsidR="007D2F4A">
              <w:rPr>
                <w:rFonts w:asciiTheme="majorHAnsi" w:hAnsiTheme="majorHAnsi" w:cs="Arial"/>
                <w:b/>
                <w:sz w:val="20"/>
              </w:rPr>
              <w:t>t</w:t>
            </w:r>
          </w:p>
        </w:tc>
      </w:tr>
      <w:tr w:rsidR="00FC2A02" w:rsidRPr="00001558" w:rsidTr="00FC2A02"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 xml:space="preserve">Name of the SDE:                                                               </w:t>
            </w:r>
          </w:p>
        </w:tc>
        <w:tc>
          <w:tcPr>
            <w:tcW w:w="4788" w:type="dxa"/>
          </w:tcPr>
          <w:p w:rsidR="00FC2A02" w:rsidRPr="00001558" w:rsidRDefault="00FC2A02" w:rsidP="00FC2A02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Name of the Agent:</w:t>
            </w:r>
          </w:p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</w:p>
        </w:tc>
      </w:tr>
      <w:tr w:rsidR="00FC2A02" w:rsidRPr="00001558" w:rsidTr="00FC2A02"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Signature with seal of the SDE</w:t>
            </w:r>
          </w:p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</w:p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Signature of the Agent</w:t>
            </w:r>
            <w:r w:rsidR="000E4036" w:rsidRPr="00001558">
              <w:rPr>
                <w:rFonts w:asciiTheme="majorHAnsi" w:hAnsiTheme="majorHAnsi" w:cs="Arial"/>
                <w:sz w:val="20"/>
              </w:rPr>
              <w:t xml:space="preserve"> with address</w:t>
            </w:r>
          </w:p>
        </w:tc>
      </w:tr>
      <w:tr w:rsidR="00FC2A02" w:rsidRPr="00001558" w:rsidTr="00FC2A02"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Name and signature of Witnesses</w:t>
            </w:r>
            <w:r w:rsidR="000E4036" w:rsidRPr="00001558">
              <w:rPr>
                <w:rFonts w:asciiTheme="majorHAnsi" w:hAnsiTheme="majorHAnsi" w:cs="Arial"/>
                <w:sz w:val="20"/>
              </w:rPr>
              <w:t xml:space="preserve"> with address</w:t>
            </w:r>
            <w:r w:rsidRPr="00001558">
              <w:rPr>
                <w:rFonts w:asciiTheme="majorHAnsi" w:hAnsiTheme="majorHAnsi" w:cs="Arial"/>
                <w:sz w:val="20"/>
              </w:rPr>
              <w:t xml:space="preserve">:         </w:t>
            </w:r>
          </w:p>
          <w:p w:rsidR="00FC2A02" w:rsidRPr="00001558" w:rsidRDefault="00FC2A02" w:rsidP="00FC2A0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br/>
            </w:r>
          </w:p>
          <w:p w:rsidR="00FC2A02" w:rsidRPr="00001558" w:rsidRDefault="00FC2A02" w:rsidP="00FC2A0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HAnsi" w:hAnsiTheme="majorHAnsi" w:cs="Arial"/>
                <w:sz w:val="20"/>
              </w:rPr>
            </w:pPr>
          </w:p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 xml:space="preserve">                    </w:t>
            </w:r>
          </w:p>
        </w:tc>
        <w:tc>
          <w:tcPr>
            <w:tcW w:w="4788" w:type="dxa"/>
          </w:tcPr>
          <w:p w:rsidR="00FC2A02" w:rsidRPr="00001558" w:rsidRDefault="00FC2A02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Name and signature of Witnesses</w:t>
            </w:r>
            <w:r w:rsidR="000E4036" w:rsidRPr="00001558">
              <w:rPr>
                <w:rFonts w:asciiTheme="majorHAnsi" w:hAnsiTheme="majorHAnsi" w:cs="Arial"/>
                <w:sz w:val="20"/>
              </w:rPr>
              <w:t xml:space="preserve"> with address</w:t>
            </w:r>
            <w:r w:rsidRPr="00001558">
              <w:rPr>
                <w:rFonts w:asciiTheme="majorHAnsi" w:hAnsiTheme="majorHAnsi" w:cs="Arial"/>
                <w:sz w:val="20"/>
              </w:rPr>
              <w:t>:</w:t>
            </w:r>
          </w:p>
          <w:p w:rsidR="003A610D" w:rsidRPr="00001558" w:rsidRDefault="003A610D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1.</w:t>
            </w:r>
          </w:p>
          <w:p w:rsidR="003A610D" w:rsidRPr="00001558" w:rsidRDefault="003A610D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</w:p>
          <w:p w:rsidR="003A610D" w:rsidRPr="00001558" w:rsidRDefault="003A610D" w:rsidP="00431FCA">
            <w:pPr>
              <w:spacing w:line="360" w:lineRule="auto"/>
              <w:rPr>
                <w:rFonts w:asciiTheme="majorHAnsi" w:hAnsiTheme="majorHAnsi" w:cs="Arial"/>
                <w:sz w:val="20"/>
              </w:rPr>
            </w:pPr>
            <w:r w:rsidRPr="00001558">
              <w:rPr>
                <w:rFonts w:asciiTheme="majorHAnsi" w:hAnsiTheme="majorHAnsi" w:cs="Arial"/>
                <w:sz w:val="20"/>
              </w:rPr>
              <w:t>2.</w:t>
            </w:r>
          </w:p>
        </w:tc>
      </w:tr>
    </w:tbl>
    <w:p w:rsidR="00431FCA" w:rsidRPr="007A5C17" w:rsidRDefault="00431FCA" w:rsidP="00431FCA">
      <w:pPr>
        <w:spacing w:line="360" w:lineRule="auto"/>
        <w:rPr>
          <w:rFonts w:asciiTheme="majorHAnsi" w:hAnsiTheme="majorHAnsi" w:cs="Arial"/>
        </w:rPr>
      </w:pPr>
    </w:p>
    <w:sectPr w:rsidR="00431FCA" w:rsidRPr="007A5C17" w:rsidSect="00C713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2B" w:rsidRDefault="0092262B" w:rsidP="006422E1">
      <w:pPr>
        <w:spacing w:after="0" w:line="240" w:lineRule="auto"/>
      </w:pPr>
      <w:r>
        <w:separator/>
      </w:r>
    </w:p>
  </w:endnote>
  <w:endnote w:type="continuationSeparator" w:id="0">
    <w:p w:rsidR="0092262B" w:rsidRDefault="0092262B" w:rsidP="0064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8254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2E1" w:rsidRDefault="006422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D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D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2E1" w:rsidRDefault="00642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2B" w:rsidRDefault="0092262B" w:rsidP="006422E1">
      <w:pPr>
        <w:spacing w:after="0" w:line="240" w:lineRule="auto"/>
      </w:pPr>
      <w:r>
        <w:separator/>
      </w:r>
    </w:p>
  </w:footnote>
  <w:footnote w:type="continuationSeparator" w:id="0">
    <w:p w:rsidR="0092262B" w:rsidRDefault="0092262B" w:rsidP="0064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B1"/>
    <w:multiLevelType w:val="hybridMultilevel"/>
    <w:tmpl w:val="BB0EAED2"/>
    <w:lvl w:ilvl="0" w:tplc="92044C3C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E4D584A"/>
    <w:multiLevelType w:val="hybridMultilevel"/>
    <w:tmpl w:val="990AA1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24837"/>
    <w:multiLevelType w:val="hybridMultilevel"/>
    <w:tmpl w:val="6BBA35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BB6089"/>
    <w:multiLevelType w:val="hybridMultilevel"/>
    <w:tmpl w:val="D182FB80"/>
    <w:lvl w:ilvl="0" w:tplc="218673E6">
      <w:start w:val="1"/>
      <w:numFmt w:val="lowerLetter"/>
      <w:lvlText w:val="(%1)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852"/>
    <w:multiLevelType w:val="hybridMultilevel"/>
    <w:tmpl w:val="D72C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117B"/>
    <w:multiLevelType w:val="hybridMultilevel"/>
    <w:tmpl w:val="E33E5762"/>
    <w:lvl w:ilvl="0" w:tplc="AB9E3B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87546"/>
    <w:multiLevelType w:val="hybridMultilevel"/>
    <w:tmpl w:val="676AD94A"/>
    <w:lvl w:ilvl="0" w:tplc="99B06A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16AB4"/>
    <w:multiLevelType w:val="hybridMultilevel"/>
    <w:tmpl w:val="776C08B2"/>
    <w:lvl w:ilvl="0" w:tplc="75C2F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340C0"/>
    <w:multiLevelType w:val="hybridMultilevel"/>
    <w:tmpl w:val="B3EAB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A312B"/>
    <w:multiLevelType w:val="hybridMultilevel"/>
    <w:tmpl w:val="021656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5B6B53"/>
    <w:multiLevelType w:val="hybridMultilevel"/>
    <w:tmpl w:val="CACA4C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0D4782"/>
    <w:multiLevelType w:val="hybridMultilevel"/>
    <w:tmpl w:val="51DA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06A50"/>
    <w:multiLevelType w:val="hybridMultilevel"/>
    <w:tmpl w:val="343EB65A"/>
    <w:lvl w:ilvl="0" w:tplc="6366A16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1" w:tplc="DEEA5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C36C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E5BAC"/>
    <w:multiLevelType w:val="hybridMultilevel"/>
    <w:tmpl w:val="5C4AE5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E737B5"/>
    <w:multiLevelType w:val="multilevel"/>
    <w:tmpl w:val="CC22AFC0"/>
    <w:lvl w:ilvl="0">
      <w:start w:val="3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7043050E"/>
    <w:multiLevelType w:val="hybridMultilevel"/>
    <w:tmpl w:val="10F266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713FC3"/>
    <w:multiLevelType w:val="hybridMultilevel"/>
    <w:tmpl w:val="CFE03E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6061D6"/>
    <w:multiLevelType w:val="hybridMultilevel"/>
    <w:tmpl w:val="2AA6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1"/>
  </w:num>
  <w:num w:numId="9">
    <w:abstractNumId w:val="16"/>
  </w:num>
  <w:num w:numId="10">
    <w:abstractNumId w:val="10"/>
  </w:num>
  <w:num w:numId="11">
    <w:abstractNumId w:val="2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2"/>
    <w:rsid w:val="00001558"/>
    <w:rsid w:val="00010791"/>
    <w:rsid w:val="0001246F"/>
    <w:rsid w:val="000125FF"/>
    <w:rsid w:val="00022654"/>
    <w:rsid w:val="00050D66"/>
    <w:rsid w:val="00064919"/>
    <w:rsid w:val="000A0BD3"/>
    <w:rsid w:val="000B188C"/>
    <w:rsid w:val="000B3A75"/>
    <w:rsid w:val="000B5636"/>
    <w:rsid w:val="000E4036"/>
    <w:rsid w:val="000E4742"/>
    <w:rsid w:val="000F2E64"/>
    <w:rsid w:val="00144C81"/>
    <w:rsid w:val="001806AF"/>
    <w:rsid w:val="001A59E9"/>
    <w:rsid w:val="001D5E19"/>
    <w:rsid w:val="00257DCE"/>
    <w:rsid w:val="00265AE9"/>
    <w:rsid w:val="002661C3"/>
    <w:rsid w:val="00290D44"/>
    <w:rsid w:val="00336B26"/>
    <w:rsid w:val="00345312"/>
    <w:rsid w:val="003551EC"/>
    <w:rsid w:val="00355233"/>
    <w:rsid w:val="00360A27"/>
    <w:rsid w:val="003A610D"/>
    <w:rsid w:val="003B71DF"/>
    <w:rsid w:val="003D64D1"/>
    <w:rsid w:val="003E2B96"/>
    <w:rsid w:val="00431FCA"/>
    <w:rsid w:val="0043595D"/>
    <w:rsid w:val="00487E0C"/>
    <w:rsid w:val="005007E7"/>
    <w:rsid w:val="0051498B"/>
    <w:rsid w:val="005165F4"/>
    <w:rsid w:val="00531582"/>
    <w:rsid w:val="0053667E"/>
    <w:rsid w:val="00553E23"/>
    <w:rsid w:val="00555D3D"/>
    <w:rsid w:val="00566CEC"/>
    <w:rsid w:val="005E7CE3"/>
    <w:rsid w:val="00625F9A"/>
    <w:rsid w:val="00636484"/>
    <w:rsid w:val="006422E1"/>
    <w:rsid w:val="006428EA"/>
    <w:rsid w:val="00664F49"/>
    <w:rsid w:val="006653E2"/>
    <w:rsid w:val="00683B9E"/>
    <w:rsid w:val="006C32F7"/>
    <w:rsid w:val="00736892"/>
    <w:rsid w:val="007648F8"/>
    <w:rsid w:val="007A5C17"/>
    <w:rsid w:val="007C68F2"/>
    <w:rsid w:val="007D2F4A"/>
    <w:rsid w:val="007E7BC6"/>
    <w:rsid w:val="007F35D5"/>
    <w:rsid w:val="007F5F21"/>
    <w:rsid w:val="0080552A"/>
    <w:rsid w:val="00860049"/>
    <w:rsid w:val="008A1D74"/>
    <w:rsid w:val="0092262B"/>
    <w:rsid w:val="009259F8"/>
    <w:rsid w:val="00940300"/>
    <w:rsid w:val="00981F34"/>
    <w:rsid w:val="00993F5D"/>
    <w:rsid w:val="009F737D"/>
    <w:rsid w:val="00A15F24"/>
    <w:rsid w:val="00A36577"/>
    <w:rsid w:val="00A6726F"/>
    <w:rsid w:val="00AB5A14"/>
    <w:rsid w:val="00B03625"/>
    <w:rsid w:val="00B13389"/>
    <w:rsid w:val="00B175C8"/>
    <w:rsid w:val="00B27F4E"/>
    <w:rsid w:val="00B329BD"/>
    <w:rsid w:val="00B4443E"/>
    <w:rsid w:val="00B8368E"/>
    <w:rsid w:val="00BB041A"/>
    <w:rsid w:val="00BB2F3E"/>
    <w:rsid w:val="00BD7E99"/>
    <w:rsid w:val="00C27195"/>
    <w:rsid w:val="00C71313"/>
    <w:rsid w:val="00CE087C"/>
    <w:rsid w:val="00D022C1"/>
    <w:rsid w:val="00D065A8"/>
    <w:rsid w:val="00D21DCB"/>
    <w:rsid w:val="00D24B28"/>
    <w:rsid w:val="00DE0238"/>
    <w:rsid w:val="00E11239"/>
    <w:rsid w:val="00E21249"/>
    <w:rsid w:val="00EB0A75"/>
    <w:rsid w:val="00ED242F"/>
    <w:rsid w:val="00F0197A"/>
    <w:rsid w:val="00F160E1"/>
    <w:rsid w:val="00F6588F"/>
    <w:rsid w:val="00F6715A"/>
    <w:rsid w:val="00F84E84"/>
    <w:rsid w:val="00FC2A0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E2B96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7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E2B96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E1"/>
  </w:style>
  <w:style w:type="paragraph" w:styleId="Footer">
    <w:name w:val="footer"/>
    <w:basedOn w:val="Normal"/>
    <w:link w:val="FooterChar"/>
    <w:uiPriority w:val="99"/>
    <w:unhideWhenUsed/>
    <w:rsid w:val="0064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E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E2B96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7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E2B96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E1"/>
  </w:style>
  <w:style w:type="paragraph" w:styleId="Footer">
    <w:name w:val="footer"/>
    <w:basedOn w:val="Normal"/>
    <w:link w:val="FooterChar"/>
    <w:uiPriority w:val="99"/>
    <w:unhideWhenUsed/>
    <w:rsid w:val="0064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E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2020-12-09T06:13:00Z</cp:lastPrinted>
  <dcterms:created xsi:type="dcterms:W3CDTF">2021-07-31T09:00:00Z</dcterms:created>
  <dcterms:modified xsi:type="dcterms:W3CDTF">2021-07-31T09:25:00Z</dcterms:modified>
</cp:coreProperties>
</file>